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#323 (a2_b1)</w:t>
      </w:r>
    </w:p>
    <w:p>
      <w:r>
        <w:t xml:space="preserve">Prompt: </w:t>
      </w:r>
    </w:p>
    <w:p>
      <w:r>
        <w:t>--------------------</w:t>
      </w:r>
    </w:p>
    <w:p>
      <w:r>
        <w:t>It is a big question whether parents should make important choices for their older teenage children. In my opinion, I strongly disagree with disagree. This essay will provide two reasons supporting my idea.</w:t>
        <w:br/>
        <w:br/>
        <w:t>Young people need to make their own choices about their lives. In other words, they must learn to manage their own futures in daily life in daily life in daily life today. For example, a student needs to pick a course at school. As a result, they learn what they like and what they are good at. This shows that making choices helps young people grow up.</w:t>
        <w:br/>
        <w:br/>
        <w:t>Teenage children should be given space to make their own decisions. This is because they are becoming more grown up in daily life in daily life in daily life. For example, a fifteen-year-old can plan their own weekend activities. As a result, they feel more responsible for their actions. This supports the view that adults should give space to children.</w:t>
        <w:br/>
        <w:br/>
        <w:t>In conclusion, I strongly disagree with the idea that parents should make important choices for their older teenage children. Young people must learn to manage their own futures, and adults should give space to children to make their own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