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#323 (b2)</w:t>
      </w:r>
    </w:p>
    <w:p>
      <w:r>
        <w:t xml:space="preserve">Prompt: </w:t>
      </w:r>
    </w:p>
    <w:p>
      <w:r>
        <w:t>--------------------</w:t>
      </w:r>
    </w:p>
    <w:p>
      <w:r>
        <w:t>The question of who should make important life choices for older teenagers is a common discussion among families. In my opinion, I strongly agree with agree. This essay will provide two reasons supporting my idea.</w:t>
        <w:br/>
        <w:br/>
        <w:t>Parents or adult relatives should make important decisions for their older teenage children. In other words, young people need guidance in making big choices. For instance, choosing a career path requires knowledge that young people might not have. As a result, adult support helps them see all the options available. Hence, it becomes evident that adult guidance is very helpful during this time.</w:t>
        <w:br/>
        <w:br/>
        <w:t>Parents or adult relatives should make important decisions for their older teenage children. This is primarily due to the fact that teenagers are still learning how to manage their lives. This can be exemplified by the fact that managing money or dealing with difficult social situations is hard. The outcome is that having adult rules gives them a safe structure to follow. This clearly aligns with the view that adult supervision is necessary for young people.</w:t>
        <w:br/>
        <w:br/>
        <w:t>In conclusion, I strongly agree that parents or adult relatives should make important decisions for their older teenage children. Adult guidance is helpful because it provides necessary support, and adult supervision is necessary because it gives them a safe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