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(b2)</w:t>
      </w:r>
    </w:p>
    <w:p>
      <w:r>
        <w:t xml:space="preserve">Prompt: </w:t>
      </w:r>
    </w:p>
    <w:p>
      <w:r>
        <w:t>--------------------</w:t>
      </w:r>
    </w:p>
    <w:p>
      <w:r>
        <w:t>The question of who should make important choices for older teenagers is a common discussion among families. In my opinion, I strongly disagree with disagree. This essay will provide two reasons supporting my idea.</w:t>
        <w:br/>
        <w:br/>
        <w:t>Teenagers need to make their own choices to grow into responsible adults. In other words, making decisions for them stops them from learning how to manage their own lives. For instance, if parents choose all the subjects for a student, the student misses chances to explore different interests. As a result, the young person might feel limited and unable to take charge of their future. Hence, it becomes evident that they must be given the chance to make their own choices.</w:t>
        <w:br/>
        <w:br/>
        <w:t>Giving teenagers control over their lives helps them build confidence and self-reliance. This is primarily due to the fact that making choices gives them a sense of ownership over their life path. This can be exemplified by the fact that choosing a college major requires research and personal commitment. The outcome is that the student learns to weigh options and accept the consequences of their actions. This clearly aligns with the view that personal autonomy is key to maturity.</w:t>
        <w:br/>
        <w:br/>
        <w:t>In conclusion, I strongly disagree with disagree. This is clear from teenagers and giving.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