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#323 (c1)</w:t>
      </w:r>
    </w:p>
    <w:p>
      <w:r>
        <w:t xml:space="preserve">Prompt: </w:t>
      </w:r>
    </w:p>
    <w:p>
      <w:r>
        <w:t>--------------------</w:t>
      </w:r>
    </w:p>
    <w:p>
      <w:r>
        <w:t>The question of whether parents or adult relatives should guide important decisions for older teenage children is a subject of considerable debate. In my opinion, I strongly agree with agree. This essay will provide two reasons supporting my idea.</w:t>
        <w:br/>
        <w:br/>
        <w:t>Adult relatives should guide their older teenage children in making important life choices. In other words, teenagers require structured support to navigate the complexities of personal development in everyday life in everyday life. For instance, choosing a university major involves significant financial and academic considerations. As a result, having parental guidance helps the young person weigh options objectively. Hence, it becomes evident that adult involvement is crucial for sound decision-making.</w:t>
        <w:br/>
        <w:br/>
        <w:t>Furthermore, adult guidance is essential for ensuring the well-being of maturing teenagers. This is primarily due to the fact that young people may lack the necessary perspective to assess risks accurately in everyday life in everyday life. This can be exemplified by the fact that poor financial management can lead to serious debt. The outcome is that parental supervision helps establish responsible habits early on. This clearly aligns with the view that guidance is necessary for responsible autonomy.</w:t>
        <w:br/>
        <w:br/>
        <w:t>In conclusion, I strongly agree with agree. This is clear from adult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