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#323 (c1)</w:t>
      </w:r>
    </w:p>
    <w:p>
      <w:r>
        <w:t xml:space="preserve">Prompt: </w:t>
      </w:r>
    </w:p>
    <w:p>
      <w:r>
        <w:t>--------------------</w:t>
      </w:r>
    </w:p>
    <w:p>
      <w:r>
        <w:t>The question of whether parents or adult relatives should make significant life decisions for older teenagers is a subject of considerable debate. In my opinion, I strongly disagree with disagree. This essay will provide two reasons supporting my idea.</w:t>
        <w:br/>
        <w:br/>
        <w:t>Granting full decision-making power to parents for older teenagers undermines their developing autonomy. In other words, these young people are at a crucial stage of developing self-reliance and personal judgment. For instance, a teenager choosing a university major or a career path needs to weigh various factors independently. As a result, excessive parental intervention can stifle the natural process of self-discovery and critical thinking. Hence, it becomes evident that allowing them to manage these choices fosters maturity and accountability.</w:t>
        <w:br/>
        <w:br/>
        <w:t>Teenagers require the opportunity to make their own choices to build essential life skills. This is primarily due to the fact that navigating complex decisions is integral to emotional and psychological growth. This can be exemplified by the fact that managing a personal budget or organizing study schedules teaches practical responsibility. The outcome is that the young person learns to assess risks and rewards, which are vital for adult life. This clearly aligns with the view that independence must be nurtured through practice, not dictated.</w:t>
        <w:br/>
        <w:br/>
        <w:t>In conclusion, I strongly disagree with disagree. This is clear from granting and teenagers.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