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#324 (c1)</w:t>
      </w:r>
    </w:p>
    <w:p>
      <w:r>
        <w:t xml:space="preserve">Prompt: </w:t>
      </w:r>
    </w:p>
    <w:p>
      <w:r>
        <w:t>--------------------</w:t>
      </w:r>
    </w:p>
    <w:p>
      <w:r>
        <w:t>The question of who benefits from our labor is a significant topic in modern society. In my opinion, I strongly agree with agreeing with the statement. This essay will provide two reasons supporting my idea.</w:t>
        <w:br/>
        <w:br/>
        <w:t>Workers must receive fair compensation for their efforts. In other words, wages should accurately reflect the value and difficulty of the tasks performed. For instance, skilled medical professionals often earn significantly more than entry-level service staff. As a result, this disparity can create economic instability and resentment among the workforce. Hence, it becomes evident that equitable pay structures are essential for a stable economy.</w:t>
        <w:br/>
        <w:br/>
        <w:t>The focus on profit maximization often neglects the well-being of employees. This is primarily due to the fact that corporations prioritize shareholder returns above all other considerations. This can be exemplified by the fact that companies may cut benefits or reduce working hours to boost quarterly profits. The outcome is that employees experience increased stress and a diminished sense of job security. This clearly aligns with the view that worker welfare must be a core business responsibility.</w:t>
        <w:br/>
        <w:br/>
        <w:t>In conclusion, I strongly agree that workers deserve fair compensation and that corporate structures must prioritize employee welfare. Ensuring equitable pay and maintaining worker welfare are crucial steps toward a just and sustainable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