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#324 (c1)</w:t>
      </w:r>
    </w:p>
    <w:p>
      <w:r>
        <w:t xml:space="preserve">Prompt: </w:t>
      </w:r>
    </w:p>
    <w:p>
      <w:r>
        <w:t>--------------------</w:t>
      </w:r>
    </w:p>
    <w:p>
      <w:r>
        <w:t>The question of whether professional efforts primarily benefit employers or the employees themselves remains a subject of considerable debate. In my opinion, I strongly disagree with disagreeing with the statement. This essay will provide two reasons supporting my idea.</w:t>
        <w:br/>
        <w:br/>
        <w:t>The primary beneficiaries of professional labor are often the workers themselves, who gain substantial personal development. In other words, employment provides opportunities for skill refinement and career advancement. For instance, an individual working in technology can acquire expertise in artificial intelligence, significantly boosting their market value. As a result, the worker gains greater financial security and professional autonomy. Hence, it becomes evident that the individual's growth is a major outcome of their career.</w:t>
        <w:br/>
        <w:br/>
        <w:t>Furthermore, the pursuit of a fulfilling career significantly enhances an individual's overall quality of life. This is primarily due to the fact that meaningful work contributes to a sense of purpose and self-worth. This can be exemplified by the fact that volunteering or working in a cause one believes in provides deep personal satisfaction. The outcome is that people report higher levels of mental well-being and job satisfaction. This clearly aligns with the view that personal fulfillment is a key reward of employment.</w:t>
        <w:br/>
        <w:br/>
        <w:t>In conclusion, I strongly disagree with the notion that work solely benefits employers. Professional labor primarily facilitates individual growth, and furthermore, a fulfilling career significantly enhances personal quality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