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#325 (b2)</w:t>
      </w:r>
    </w:p>
    <w:p>
      <w:r>
        <w:t xml:space="preserve">Prompt: </w:t>
      </w:r>
    </w:p>
    <w:p>
      <w:r>
        <w:t>--------------------</w:t>
      </w:r>
    </w:p>
    <w:p>
      <w:r>
        <w:t>Some people argue about whether a city should keep its old, historic buildings or tear them down for modern structures. In my opinion, I strongly agree with agreeing with the statement. This essay will provide two reasons supporting my idea.</w:t>
        <w:br/>
        <w:br/>
        <w:t>Preserving old buildings helps people connect with the city's past. In other words, these structures tell the story of how the community has grown over time. For instance, an old market building shows how trade used to happen in the city center. As a result, people feel a sense of belonging and connection to their roots. Hence, it becomes evident that keeping these buildings adds cultural value to the area.</w:t>
        <w:br/>
        <w:br/>
        <w:t>Old buildings also help maintain the unique character of a neighborhood. This is primarily due to the fact that modern construction often looks uniform and lacks local flavor. This can be exemplified by the fact that many new office blocks use the same glass and steel design. The outcome is that the city loses its distinct identity and becomes generic. This clearly aligns with the view that preserving the old keeps the city special.</w:t>
        <w:br/>
        <w:br/>
        <w:t>In conclusion, I strongly agree that cities must preserve their old, historic buildings. Keeping these structures helps people connect with the city's past, and also helps maintain the unique character of a neighborhood.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