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#325 (c1)</w:t>
      </w:r>
    </w:p>
    <w:p>
      <w:r>
        <w:t xml:space="preserve">Prompt: </w:t>
      </w:r>
    </w:p>
    <w:p>
      <w:r>
        <w:t>--------------------</w:t>
      </w:r>
    </w:p>
    <w:p>
      <w:r>
        <w:t>The debate surrounding urban development often centers on whether a city should prioritize the preservation of its historic structures or replace them with contemporary constructions. In my opinion, I strongly disagree with disagree. This essay will provide two reasons supporting my idea.</w:t>
        <w:br/>
        <w:br/>
        <w:t>Preserving old buildings is crucial for maintaining a city's unique cultural identity. In other words, these structures embody the accumulated history and architectural heritage of a community. For instance, the preserved facades of a city center provide tangible links to past eras, allowing residents to feel connected to their roots. As a result, the overall aesthetic appeal and sense of place are significantly enhanced for both inhabitants and tourists. Hence, it becomes evident that maintaining this architectural integrity is vital for the city's soul.</w:t>
        <w:br/>
        <w:br/>
        <w:t>Furthermore, historic buildings often possess structural elements that can be adapted for modern use. This is primarily due to the fact that many older buildings are built with durable, time-tested materials. This can be exemplified by the fact that many churches and warehouses undergo adaptive reuse, transforming them into commercial spaces. The outcome is that this approach promotes sustainable development by minimizing the need for new construction materials. This clearly aligns with the view that preservation offers practical economic benefits.</w:t>
        <w:br/>
        <w:br/>
        <w:t>In conclusion, I strongly disagree with disagree. This is clear from preserving and furthermore.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