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#328 (c1)</w:t>
      </w:r>
    </w:p>
    <w:p>
      <w:r>
        <w:t xml:space="preserve">Prompt: </w:t>
      </w:r>
    </w:p>
    <w:p>
      <w:r>
        <w:t>--------------------</w:t>
      </w:r>
    </w:p>
    <w:p>
      <w:r>
        <w:t>The practice of assigning marks to students is often debated regarding its effectiveness in promoting academic growth. In my opinion, I strongly agree with agreeing with the statement. This essay will provide two reasons supporting my idea.</w:t>
        <w:br/>
        <w:br/>
        <w:t>Marks serve as a powerful incentive, motivating students to dedicate more time and effort to their studies. In other words, the desire for high grades encourages students to maintain a rigorous academic schedule. For instance, a student aiming for a top mark in mathematics might spend extra hours practicing complex problem sets. As a result, this increased dedication leads to a deeper understanding of the subject matter. Hence, it becomes evident that external assessment significantly boosts academic performance.</w:t>
        <w:br/>
        <w:br/>
        <w:t>Furthermore, marks provide clear feedback regarding a student's current level of understanding. This is primarily due to the fact that grades pinpoint specific areas where improvement is necessary. This can be exemplified by the fact that a low mark on an essay signals weaknesses in structural organization. The outcome is that the student can then focus their revision efforts on those particular skills. This clearly aligns with the view that assessment tools are valuable diagnostic instruments for learning.</w:t>
        <w:br/>
        <w:br/>
        <w:t>In conclusion, I strongly agree with agreeing with the statement. This is because marks serve as a powerful incentive, motivating students to dedicate more time and effort to their studies, and they also provide clear feedback regarding a student's current level of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