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(c1)</w:t>
      </w:r>
    </w:p>
    <w:p>
      <w:r>
        <w:t xml:space="preserve">Prompt: </w:t>
      </w:r>
    </w:p>
    <w:p>
      <w:r>
        <w:t>--------------------</w:t>
      </w:r>
    </w:p>
    <w:p>
      <w:r>
        <w:t>The pervasive influence of computers has fundamentally altered nearly every aspect of modern human existence. In my opinion, I strongly agree with agreeing with the statement. This essay will provide two reasons supporting my idea.</w:t>
        <w:br/>
        <w:br/>
        <w:t>Computers have significantly enhanced global communication by providing instantaneous connectivity. In other words, they allow people across vast geographical distances to interact seamlessly and efficiently. For instance, video conferencing platforms enable families to connect with relatives living on different continents. As a result, the maintenance of personal relationships becomes far simpler and more accessible than before. Hence, it becomes evident that computers are indispensable tools for maintaining social bonds.</w:t>
        <w:br/>
        <w:br/>
        <w:t>Furthermore, computers have revolutionized the accessibility and scope of educational resources. This is primarily due to the fact that vast amounts of knowledge are now digitized and available online. This can be exemplified by the fact that students can access university-level lectures from reputable institutions worldwide. The outcome is that geographical limitations no longer restrict a person's potential for advanced learning. This clearly aligns with the view that computers are crucial catalysts for lifelong learning.</w:t>
        <w:br/>
        <w:br/>
        <w:t>In conclusion, I strongly agree that computers are vital to modern life. Their role in enhancing global communication and revolutionizing educational resources confirms their essential place in contemporary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