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(b2)</w:t>
      </w:r>
    </w:p>
    <w:p>
      <w:r>
        <w:t xml:space="preserve">Prompt: </w:t>
      </w:r>
    </w:p>
    <w:p>
      <w:r>
        <w:t>--------------------</w:t>
      </w:r>
    </w:p>
    <w:p>
      <w:r>
        <w:t>It is often debated whether children should begin studying a foreign language as soon as they enter school. In my opinion, I strongly agree with agreeing with the statement. This essay will provide two reasons supporting my idea.</w:t>
        <w:br/>
        <w:br/>
        <w:t>Learning a foreign language early helps children develop better communication skills. In other words, starting early gives young minds time to absorb new sounds and structures. For instance, a child who learns Spanish in primary school will pick up basic phrases quickly. As a result, they will feel more confident when speaking with native speakers. Hence, it becomes evident that early exposure builds strong speaking skills.</w:t>
        <w:br/>
        <w:br/>
        <w:t>Another reason is that early language study boosts cognitive development. This is primarily due to the fact that learning new grammar rules and vocabulary keeps the brain active. This can be exemplified by the fact that children who study German show better memory skills than their peers. The outcome is that they become better at solving problems in other subjects too. This clearly aligns with the view that early language study improves overall thinking ability.</w:t>
        <w:br/>
        <w:br/>
        <w:t>In conclusion, I strongly agree that children should start learning a foreign language at school. Starting early helps build strong speaking skills, and this also improves overall thinking 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