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#331 (b2)</w:t>
      </w:r>
    </w:p>
    <w:p>
      <w:r>
        <w:t xml:space="preserve">Prompt: </w:t>
      </w:r>
    </w:p>
    <w:p>
      <w:r>
        <w:t>--------------------</w:t>
      </w:r>
    </w:p>
    <w:p>
      <w:r>
        <w:t>The question of when children should begin studying a foreign language is a common discussion among parents and educators. In my opinion, I strongly disagree with disagreeing with the statement. This essay will provide two reasons supporting my idea.</w:t>
        <w:br/>
        <w:br/>
        <w:t>Young children need time to develop other skills before focusing on a new language. In other words, their focus should be on core subjects like reading and math. For instance, a child might need to master basic writing skills before learning complex grammar rules. As a result, forcing language study too early can make learning feel like a chore. Hence, it becomes evident that other developmental areas must come first.</w:t>
        <w:br/>
        <w:br/>
        <w:t>Early language learning can take away from a child's natural curiosity and play time. This is primarily due to the fact that structured lessons can feel too rigid for young minds. This can be exemplified by the fact that playtime allows children to use language freely with their friends. The outcome is that they learn language naturally through fun interactions, which is much better than classroom work. This clearly aligns with the view that play is the best way for young people to learn.</w:t>
        <w:br/>
        <w:br/>
        <w:t>In conclusion, I strongly disagree with the idea that children should start learning a foreign language immediately. It is better for children to focus on core subjects first, and they should also be allowed to learn through play and natural interaction.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