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#331 (c1)</w:t>
      </w:r>
    </w:p>
    <w:p>
      <w:r>
        <w:t xml:space="preserve">Prompt: </w:t>
      </w:r>
    </w:p>
    <w:p>
      <w:r>
        <w:t>--------------------</w:t>
      </w:r>
    </w:p>
    <w:p>
      <w:r>
        <w:t>It is widely debated whether children should commence their study of a foreign language immediately upon entering school. In my opinion, I strongly agree with agreeing with the statement. This essay will provide two reasons supporting my idea.</w:t>
        <w:br/>
        <w:br/>
        <w:t>Early exposure to foreign languages offers substantial academic advantages. In other words, starting language instruction during childhood helps build foundational linguistic skills. For instance, a primary school student learning Spanish will acquire basic vocabulary and simple grammatical structures. As a result, their ability to communicate in a new language develops naturally and rapidly. Hence, it becomes evident that early academic engagement significantly boosts overall learning capacity.</w:t>
        <w:br/>
        <w:br/>
        <w:t>Furthermore, learning a foreign language early enhances cognitive development. This is primarily due to the fact that engaging with different linguistic systems improves problem-solving abilities. This can be exemplified by the fact that children who study Mandarin show improved memory retention and focus. The outcome is that they develop greater mental flexibility, which benefits all academic subjects. This clearly aligns with the view that early linguistic study promotes superior cognitive function.</w:t>
        <w:br/>
        <w:br/>
        <w:t>In conclusion, I strongly agree that children should begin learning a foreign language as soon as they start school. The early academic engagement provides significant advantages, and the initial linguistic study promotes superior cognitive function.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