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#331 (c1)</w:t>
      </w:r>
    </w:p>
    <w:p>
      <w:r>
        <w:t xml:space="preserve">Prompt: </w:t>
      </w:r>
    </w:p>
    <w:p>
      <w:r>
        <w:t>--------------------</w:t>
      </w:r>
    </w:p>
    <w:p>
      <w:r>
        <w:t>The notion that children should commence foreign language study immediately upon entering school is a widely debated educational topic. In my opinion, I strongly disagree with disagreeing with the statement. This essay will provide two reasons supporting my idea.</w:t>
        <w:br/>
        <w:br/>
        <w:t>Young children require a more gradual introduction to foreign languages than is often assumed. In other words, forcing early academic study can overwhelm their natural learning pace. For instance, focusing too heavily on grammar rules might detract from their natural curiosity about the language. As a result, the initial experience could be associated with stress rather than enjoyment. Hence, it becomes evident that a slower, more play-based approach is significantly more beneficial.</w:t>
        <w:br/>
        <w:br/>
        <w:t>Furthermore, the primary focus of early schooling should remain on foundational academic skills. This is primarily due to the fact that young minds are developing core literacy and numeracy abilities. This can be exemplified by the fact that a child needs to master basic reading skills before tackling complex foreign vocabulary. The outcome is that dedicating time to an unfamiliar language might compromise their development in core subjects. This clearly aligns with the view that primary education must prioritize fundamental academic development.</w:t>
        <w:br/>
        <w:br/>
        <w:t>In conclusion, I strongly disagree with the statement that foreign language learning should begin immediately in school. A gradual, play-based approach is more suitable than early academic study, and primary education must prioritize fundamental academic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