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#332 (c1)</w:t>
      </w:r>
    </w:p>
    <w:p>
      <w:r>
        <w:t xml:space="preserve">Prompt: </w:t>
      </w:r>
    </w:p>
    <w:p>
      <w:r>
        <w:t>--------------------</w:t>
      </w:r>
    </w:p>
    <w:p>
      <w:r>
        <w:t>The debate concerning whether male and female students should attend separate educational institutions remains a persistent topic of discussion. In my opinion, I strongly disagree with disagreeing with the statement. This essay will provide two reasons supporting my idea.</w:t>
        <w:br/>
        <w:br/>
        <w:t>Maintaining separate schools for boys and girls limits the scope of social development. In other words, co-educational settings provide a natural environment for students to interact with diverse peers in everyday life. For instance, students learn to navigate varied social dynamics, which is crucial for maturity in everyday life. As a result, they develop essential communication skills and build broader social networks. Hence, it becomes evident that co-education fosters comprehensive personal growth.</w:t>
        <w:br/>
        <w:br/>
        <w:t>Separating genders can restrict the natural development of social skills. This is primarily due to the fact that co-educational environments model realistic social interactions in everyday life. This can be exemplified by the fact that students encounter different perspectives and build balanced relationships in everyday life. The outcome is that they become more adept at understanding varied gender roles and social cues. This clearly aligns with the view that mixed schooling promotes holistic development.</w:t>
        <w:br/>
        <w:br/>
        <w:t>In conclusion, I strongly disagree with disagreeing with the statement. This is because co-educational settings facilitate the development of essential communication skills through diverse peer interactions, and they also enable students to become more adept at understanding varied gender roles and social cues.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