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#335 (c1)</w:t>
      </w:r>
    </w:p>
    <w:p>
      <w:r>
        <w:t xml:space="preserve">Prompt: </w:t>
      </w:r>
    </w:p>
    <w:p>
      <w:r>
        <w:t>--------------------</w:t>
      </w:r>
    </w:p>
    <w:p>
      <w:r>
        <w:t>There is ongoing debate regarding whether family members or friends exert the most significant influence on young adults. In my opinion, I strongly agree with agreeing with the statement. This essay will provide two reasons supporting my idea.</w:t>
        <w:br/>
        <w:br/>
        <w:t>The family unit provides a foundational support system for developing a young person's core values. In other words, the initial guidance received at home shapes fundamental beliefs about life and morality. For instance, observing parental conflict teaches children about conflict resolution and emotional boundaries. As a result, individuals are better equipped to navigate complex interpersonal dynamics later in life. Hence, it becomes evident that familial bonds establish the bedrock for emotional stability.</w:t>
        <w:br/>
        <w:br/>
        <w:t>Furthermore, the family environment is crucial for establishing a sense of belonging and security. This is primarily due to the fact that family members provide unconditional acceptance, regardless of personal achievements. This can be exemplified by the fact that This can be exemplified by the consistent emotional support offered during academic setbacks or career changes. The outcome is that young adults develop resilience and a strong sense of self-worth. This clearly aligns with the view that family provides the primary influence during formative years.</w:t>
        <w:br/>
        <w:br/>
        <w:t>In conclusion, I strongly agree that the family provides the most significant influence on young adults. The foundational support system and the sense of belonging established by family members are paramount to a person's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