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#336 (c1)</w:t>
      </w:r>
    </w:p>
    <w:p>
      <w:r>
        <w:t xml:space="preserve">Prompt: </w:t>
      </w:r>
    </w:p>
    <w:p>
      <w:r>
        <w:t>--------------------</w:t>
      </w:r>
    </w:p>
    <w:p>
      <w:r>
        <w:t>The pursuit of profit is a fundamental aspect of commercial activity in modern economies. In my opinion, I strongly agree with agreeing with the statement. This essay will provide two reasons supporting my idea.</w:t>
        <w:br/>
        <w:br/>
        <w:t>Businesses must strive to achieve profitability to ensure their long-term survival. In other words, generating sufficient revenue above operational costs is essential for maintaining market presence in everyday life. For instance, a small retail shop must manage its inventory carefully to avoid financial losses. As a result, maintaining a positive profit margin allows the business to reinvest in improvements and staff. Hence, it becomes evident that financial viability is paramount for any commercial enterprise.</w:t>
        <w:br/>
        <w:br/>
        <w:t>Furthermore, profit generation drives innovation and economic growth within a society. This is primarily due to the fact that the desire for greater returns motivates companies to improve their products. This can be exemplified by the fact that technological advancements often emerge from the quest for market advantage. The outcome is that increased efficiency and novel goods benefit the entire consumer base. This clearly aligns with the view that profit motives are key drivers of societal progress.</w:t>
        <w:br/>
        <w:br/>
        <w:t>In conclusion, I strongly agree with agreeing with the statement. This is because achieving financial viability is paramount for commercial enterprises, and profit generation also drives innovation and economic growth within a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