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#336 (c1)</w:t>
      </w:r>
    </w:p>
    <w:p>
      <w:r>
        <w:t xml:space="preserve">Prompt: </w:t>
      </w:r>
    </w:p>
    <w:p>
      <w:r>
        <w:t>--------------------</w:t>
      </w:r>
    </w:p>
    <w:p>
      <w:r>
        <w:t>The notion that profit is the sole determinant of a company's success is an oversimplification of complex business dynamics. In my opinion, I strongly disagree with disagreeing with the statement. This essay will provide two reasons supporting my idea.</w:t>
        <w:br/>
        <w:br/>
        <w:t>Businesses achieve substantial success through a combination of ethical practices and community engagement. In other words, focusing solely on maximizing financial gain often neglects crucial intangible assets. For instance, companies that prioritize environmental sustainability, such as reducing carbon emissions, gain positive public perception. As a result, consumer loyalty increases, which translates into a more stable and robust revenue stream. Hence, it becomes evident that corporate responsibility is a significant driver of long-term profitability.</w:t>
        <w:br/>
        <w:br/>
        <w:t>Furthermore, a commitment to employee welfare is equally vital for organizational prosperity. This is primarily due to the fact that highly motivated staff members contribute superior levels of productivity. This can be exemplified by the fact that firms offering comprehensive benefits, like flexible working hours, report lower staff turnover rates. The outcome is that the company retains valuable institutional knowledge and maintains a skilled workforce. This clearly aligns with the view that human capital is a foundational pillar of sustained economic growth.</w:t>
        <w:br/>
        <w:br/>
        <w:t>In conclusion, I strongly disagree with the notion that profit is the sole measure of success. True organizational achievement requires integrating ethical practices and community engagement alongside a commitment to employee welfare.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