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#338 (c1)</w:t>
      </w:r>
    </w:p>
    <w:p>
      <w:r>
        <w:t xml:space="preserve">Prompt: </w:t>
      </w:r>
    </w:p>
    <w:p>
      <w:r>
        <w:t>--------------------</w:t>
      </w:r>
    </w:p>
    <w:p>
      <w:r>
        <w:t>The question of whether children should be required to participate in household chores is a subject of ongoing discussion. In my opinion, I strongly disagree with disagree. This essay will provide two reasons supporting my idea.</w:t>
        <w:br/>
        <w:br/>
        <w:t>Mandating household tasks helps children develop a sense of accountability within the family unit. In other words, participating in chores teaches them that their actions contribute to the collective well-being of the household. For instance, sweeping the floor or washing dishes teaches them the value of mutual effort. As a result, they learn to take responsibility for shared living spaces, which is a crucial life skill. Hence, it becomes evident that early involvement fosters self-reliance and competence.</w:t>
        <w:br/>
        <w:br/>
        <w:t>Requiring children to assist with chores builds essential life skills and routines. This is primarily due to the fact that these responsibilities mimic the duties they will encounter in adulthood. This can be exemplified by the fact that folding laundry or setting the table are practical exercises in organization. The outcome is that they become more capable and prepared for independent living. This clearly aligns with the view that structured assistance is beneficial for personal growth.</w:t>
        <w:br/>
        <w:br/>
        <w:t>In conclusion, I strongly disagree with disagree. This is clear from mandating and requiring.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