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#339 (c1)</w:t>
      </w:r>
    </w:p>
    <w:p>
      <w:r>
        <w:t xml:space="preserve">Prompt: </w:t>
      </w:r>
    </w:p>
    <w:p>
      <w:r>
        <w:t>--------------------</w:t>
      </w:r>
    </w:p>
    <w:p>
      <w:r>
        <w:t>It is widely debated whether young individuals should explore various occupations before committing to a single long-term career. In my opinion, I strongly agree with agree. This essay will provide two reasons supporting my idea.</w:t>
        <w:br/>
        <w:br/>
        <w:t>Exploring diverse occupations allows young people to gain valuable practical experience. In other words, this exposure helps them understand the day-to-day realities of different professions in everyday life in everyday life in everyday life. For instance, a student who tries retail might realize they prefer the analytical nature of finance. As a result, they can refine their interests and identify suitable career paths. Hence, it becomes evident that early exploration significantly improves decision making.</w:t>
        <w:br/>
        <w:br/>
        <w:t>Furthermore, trying different jobs enhances a person's adaptability and skill set. This is primarily due to the fact that varied work environments teach resilience and problem-solving in everyday life in everyday life in everyday life. This can be exemplified by the fact that working in a fast-paced startup develops quick decision-making skills. The outcome is that the individual becomes more versatile and marketable to employers. This clearly aligns with the view that vocational exploration is crucial for workforce readiness.</w:t>
        <w:br/>
        <w:br/>
        <w:t>In conclusion, I strongly agree with agree. This is clear from exploring and furthermore.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