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#340 (c1)</w:t>
      </w:r>
    </w:p>
    <w:p>
      <w:r>
        <w:t xml:space="preserve">Prompt: </w:t>
      </w:r>
    </w:p>
    <w:p>
      <w:r>
        <w:t>--------------------</w:t>
      </w:r>
    </w:p>
    <w:p>
      <w:r>
        <w:t>While parents certainly play a vital role in a child's upbringing, asserting that they are the sole best teachers is an oversimplification. In my opinion, I strongly disagree with disagreeing with the statement. This essay will provide two reasons supporting my idea.</w:t>
        <w:br/>
        <w:br/>
        <w:t>Formal education institutions provide structured learning environments that are essential for comprehensive development. In other words, schools offer specialized curricula designed by experts to cover a wide range of subjects. For instance, a history class allows students to study global events and civilizations they would not encounter at home. As a result, students gain systematic knowledge and develop critical thinking skills necessary for academic success. Hence, it becomes evident that professional educators contribute significantly to a child's intellectual growth.</w:t>
        <w:br/>
        <w:br/>
        <w:t>Furthermore, the influence of peers and community mentors is crucial for developing social competence. This is primarily due to the fact that outside influences expose individuals to diverse perspectives and social dynamics. This can be exemplified by the fact that participation in sports teams teaches teamwork and discipline among classmates. The outcome is that young people learn how to navigate complex social relationships and accept differing viewpoints. This clearly aligns with the view that external sources provide invaluable lessons in social intelligence.</w:t>
        <w:br/>
        <w:br/>
        <w:t>In conclusion, I strongly disagree with disagreeing with the statement. This is because formal education institutions provide systematic knowledge and professional educators contribute significantly to intellectual growth, while external sources are crucial for developing social competence and navigating diverse perspectives.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