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#342 (c1)</w:t>
      </w:r>
    </w:p>
    <w:p>
      <w:r>
        <w:t xml:space="preserve">Prompt: </w:t>
      </w:r>
    </w:p>
    <w:p>
      <w:r>
        <w:t>--------------------</w:t>
      </w:r>
    </w:p>
    <w:p>
      <w:r>
        <w:t>The debate concerning whether practical experience or academic study provides superior knowledge remains a persistent discussion. In my opinion, I strongly agree with agreeing with the statement. This essay will provide two reasons supporting my idea.</w:t>
        <w:br/>
        <w:br/>
        <w:t>Knowledge acquired through direct involvement in real-world situations is profoundly valuable for personal growth. In other words, practical application allows individuals to test theoretical concepts against the complexities of reality. For instance, a student learning coding through personal projects gains proficiency far beyond what a textbook can teach. As a result, they develop problem-solving skills and adaptability that are crucial for professional success. Hence, it becomes evident that hands-on experience builds a robust foundation of practical expertise.</w:t>
        <w:br/>
        <w:br/>
        <w:t>Furthermore, practical experience is essential for developing crucial professional competence. This is primarily due to the fact that real-life scenarios necessitate quick decision-making and resourcefulness. This can be exemplified by the fact that a manager handling a sudden market downturn must rely on intuition and judgment. The outcome is that the individual learns to navigate uncertainty and manage unexpected challenges effectively. This clearly aligns with the view that practical application is the ultimate source of deep insight.</w:t>
        <w:br/>
        <w:br/>
        <w:t>In conclusion, I strongly agree with agreeing with the statement. This is because practical involvement fosters robust problem-solving skills, and it also enables individuals to navigate professional uncertainty and make quick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