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(c1)</w:t>
      </w:r>
    </w:p>
    <w:p>
      <w:r>
        <w:t xml:space="preserve">Prompt: </w:t>
      </w:r>
    </w:p>
    <w:p>
      <w:r>
        <w:t>--------------------</w:t>
      </w:r>
    </w:p>
    <w:p>
      <w:r>
        <w:t>The consumption of cinematic and television content can significantly impact individuals' conduct and lifestyle. In my opinion, I strongly agree with agree. This essay will provide two reasons supporting my idea.</w:t>
        <w:br/>
        <w:br/>
        <w:t>One clear advantage is that media exposure can negatively affect moral development. In other words, characters often engage in actions that are socially unacceptable or harmful in everyday life in everyday life. For instance, a popular TV show might depict violence as a normal response to conflict. As a result, viewers may normalize aggressive behavior and fail to recognize ethical boundaries. Hence, it becomes evident that excessive viewing can erode sound moral judgment.</w:t>
        <w:br/>
        <w:br/>
        <w:t>Another reason is that these platforms can negatively influence social interaction skills. This is primarily due to the fact that excessive screen time replaces real-world engagement with passive viewing in everyday life in everyday life. This can be exemplified by the fact that individuals spend hours watching instead of participating in face-to-face conversations. The outcome is that people become less adept at reading subtle social cues and maintaining deep relationships. This clearly aligns with the view that media consumption diminishes crucial interpersonal abilities.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