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#344 (c1)</w:t>
      </w:r>
    </w:p>
    <w:p>
      <w:r>
        <w:t xml:space="preserve">Prompt: </w:t>
      </w:r>
    </w:p>
    <w:p>
      <w:r>
        <w:t>--------------------</w:t>
      </w:r>
    </w:p>
    <w:p>
      <w:r>
        <w:t>The impact of cinematic and television content on human conduct is a subject of considerable debate. In my opinion, I strongly disagree with disagreeing with the statement. This essay will provide two reasons supporting my idea.</w:t>
        <w:br/>
        <w:br/>
        <w:t>Media consumption, such as watching movies and TV shows, does not inherently dictate a person's behavior. In other words, viewers possess significant autonomy when interpreting and applying fictional narratives. For instance, a character displaying aggressive behavior on a big screen does not compel the audience to replicate it in real life. As a result, the viewing experience remains a form of entertainment rather than a behavioral blueprint. Hence, it becomes evident that critical thinking skills mitigate any potential negative influence.</w:t>
        <w:br/>
        <w:br/>
        <w:t>Furthermore, these visual media serve as platforms for cultural reflection and education. This is primarily due to the fact that many productions tackle complex social issues, promoting awareness among viewers. This can be exemplified by the fact that historical dramas accurately portray past societal norms, informing the audience about different eras. The outcome is that viewers gain a broader understanding of human experience, which is beneficial for their social life. This clearly aligns with the view that media can be a powerful tool for positive development.</w:t>
        <w:br/>
        <w:br/>
        <w:t>In conclusion, I strongly disagree with disagreeing with the statement. This is because media consumption allows for viewer autonomy in interpreting narratives, and furthermore, these visual platforms facilitate cultural reflection and education regarding complex social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