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#348 (c1)</w:t>
      </w:r>
    </w:p>
    <w:p>
      <w:r>
        <w:t xml:space="preserve">Prompt: </w:t>
      </w:r>
    </w:p>
    <w:p>
      <w:r>
        <w:t>--------------------</w:t>
      </w:r>
    </w:p>
    <w:p>
      <w:r>
        <w:t>The allocation of university funding between student sports activities and academic libraries is a subject of considerable debate. In my opinion, I strongly agree with agreeing with the statement. This essay will provide two reasons supporting my idea.</w:t>
        <w:br/>
        <w:br/>
        <w:t>Prioritizing funding for sports activities is crucial for the comprehensive development of students. In other words, physical engagement contributes significantly to mental clarity and academic focus. For instance, a university sports team provides structured time management and teamwork opportunities. As a result, students develop discipline and resilience, qualities that enhance their academic performance. Hence, it becomes evident that sports facilities are vital components of a well-rounded educational experience.</w:t>
        <w:br/>
        <w:br/>
        <w:t>Furthermore, equal funding ensures that all student interests, both physical and intellectual, receive adequate support. This is primarily due to the fact that students possess diverse needs and require varied forms of engagement. This can be exemplified by the fact that some students thrive through athletic pursuits, while others prefer quiet study in a library. The outcome is that a balanced environment fosters overall student well-being and academic success. This clearly aligns with the view that resource allocation must be equitable across all student life areas.</w:t>
        <w:br/>
        <w:br/>
        <w:t>In conclusion, I strongly agree with agreeing with the statement. This is because prioritizing sports enhances student discipline and academic focus, while equitable funding ensures that diverse physical and intellectual interests receive adequate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