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#348 (c1)</w:t>
      </w:r>
    </w:p>
    <w:p>
      <w:r>
        <w:t xml:space="preserve">Prompt: </w:t>
      </w:r>
    </w:p>
    <w:p>
      <w:r>
        <w:t>--------------------</w:t>
      </w:r>
    </w:p>
    <w:p>
      <w:r>
        <w:t>The allocation of university funding between student sports activities and academic libraries is a subject of considerable debate. In my opinion, I strongly disagree with disagreeing with the statement. This essay will provide two reasons supporting my idea.</w:t>
        <w:br/>
        <w:br/>
        <w:t>Prioritizing sports funding over library resources diminishes the core academic mission of higher education. In other words, a university's primary function remains the transmission of knowledge and scholarly research. For instance, a student needing access to specialized academic journals for a thesis might find the library understocked. As a result, the quality of student research and overall academic output suffers significantly. Hence, it becomes evident that libraries require the majority of the allocated resources to maintain academic standards.</w:t>
        <w:br/>
        <w:br/>
        <w:t>Equitable funding should prioritize the development of intellectual infrastructure over physical athletic facilities. This is primarily due to the fact that libraries house the essential materials that support deep learning and critical thinking. This can be exemplified by the fact that a well-stocked library provides access to diverse viewpoints and historical records. The outcome is that students develop superior research skills and a broader understanding of global issues. This clearly aligns with the view that intellectual resources are more crucial for career success than physical sports.</w:t>
        <w:br/>
        <w:br/>
        <w:t>In conclusion, I strongly disagree with disagreeing with the statement. This is because prioritizing libraries ensures the availability of essential academic materials, and focusing on intellectual infrastructure is more crucial for developing superior research skills.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