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#352 (c1)</w:t>
      </w:r>
    </w:p>
    <w:p>
      <w:r>
        <w:t xml:space="preserve">Prompt: </w:t>
      </w:r>
    </w:p>
    <w:p>
      <w:r>
        <w:t>--------------------</w:t>
      </w:r>
    </w:p>
    <w:p>
      <w:r>
        <w:t>The relationship between neighbors is often perceived as inherently fraught with conflict and mutual suspicion. In my opinion, I strongly disagree with disagreeing with the statement. This essay will provide two reasons supporting my idea.</w:t>
        <w:br/>
        <w:br/>
        <w:t>Maintaining positive connections with neighbors significantly enhances the overall quality of life in a community. In other words, strong communal bonds provide a crucial layer of emotional and practical support. For instance, neighbors can assist during emergencies, such as unexpected illness or natural disasters. As a result, residents feel a greater sense of security and belonging within their immediate surroundings. Hence, it becomes evident that positive neighborly relations are vital for community well-being.</w:t>
        <w:br/>
        <w:br/>
        <w:t>Furthermore, fostering good relationships with neighbors contributes positively to property values and neighborhood stability. This is primarily due to the fact that cohesive communities attract more investment and maintain a desirable atmosphere. This can be exemplified by the fact that areas with active community groups often see higher rates of property appreciation. The outcome is that people are more inclined to care for and improve their homes and surrounding areas. This clearly aligns with the view that good neighborly relations are beneficial for local economies.</w:t>
        <w:br/>
        <w:br/>
        <w:t>In conclusion, I strongly disagree with the notion that neighborly relations are inherently problematic; rather, positive connections enhance community well-being and contribute to neighborhood stability.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