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#353 (b2)</w:t>
      </w:r>
    </w:p>
    <w:p>
      <w:r>
        <w:t xml:space="preserve">Prompt: </w:t>
      </w:r>
    </w:p>
    <w:p>
      <w:r>
        <w:t>--------------------</w:t>
      </w:r>
    </w:p>
    <w:p>
      <w:r>
        <w:t>The debate about whether living in the countryside is better for children than living in a large city is a common discussion. In my opinion, I strongly agree with agreeing with the statement. This essay will provide two reasons supporting my idea.</w:t>
        <w:br/>
        <w:br/>
        <w:t>Children growing up in rural areas benefit from a cleaner environment. In other words, they have better access to open spaces and fresh air in everyday life. For instance, children in the countryside often play in fields and near nature. As a result, their physical health improves, and they learn about the natural world. Hence, it becomes evident that the rural setting supports better physical development.</w:t>
        <w:br/>
        <w:br/>
        <w:t>Another benefit of country life is the chance for children to develop a strong connection with nature. This is primarily due to the fact that rural life offers a slower, calmer pace. This can be exemplified by the fact that children spend time observing local wildlife and farming activities. The outcome is that they develop patience and a deeper understanding of life cycles. This clearly aligns with the view that the countryside provides valuable life lessons.</w:t>
        <w:br/>
        <w:br/>
        <w:t>In conclusion, I strongly agree with agreeing with the statement. This is because rural settings promote better physical development through open spaces and also foster a deeper understanding of life cycles by connecting children with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