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#353 (c1)</w:t>
      </w:r>
    </w:p>
    <w:p>
      <w:r>
        <w:t xml:space="preserve">Prompt: </w:t>
      </w:r>
    </w:p>
    <w:p>
      <w:r>
        <w:t>--------------------</w:t>
      </w:r>
    </w:p>
    <w:p>
      <w:r>
        <w:t>The comparison between growing up in a rural setting and residing in a large metropolitan area is a subject of considerable debate. In my opinion, I strongly agree with agreeing with the statement. This essay will provide two reasons supporting my idea.</w:t>
        <w:br/>
        <w:br/>
        <w:t>The natural environment provides essential elements crucial for a child's holistic development. In other words, rural settings offer ample exposure to open spaces and natural elements. For instance, children in the countryside often engage in outdoor activities, such as farming or hiking. As a result, their physical activity levels tend to be higher, promoting robust health. Hence, it becomes evident that the proximity to nature significantly contributes to physical fitness.</w:t>
        <w:br/>
        <w:br/>
        <w:t>Furthermore, the atmosphere of a countryside location fosters a sense of peace and tranquility. This is primarily due to the fact that the pace of life is generally slower and less stressful. This can be exemplified by the fact that the air quality remains superior, lacking the smog of urban centers. The outcome is that children develop a calmer disposition and better mental resilience. This clearly aligns with the view that a peaceful environment is vital for emotional growth.</w:t>
        <w:br/>
        <w:br/>
        <w:t>In conclusion, I strongly agree with agreeing with the statement. This is because rural settings promote physical fitness through ample outdoor activities and cultivate mental resilience by providing a tranquil, low-stress atmosphere.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