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#353 (c1)</w:t>
      </w:r>
    </w:p>
    <w:p>
      <w:r>
        <w:t xml:space="preserve">Prompt: </w:t>
      </w:r>
    </w:p>
    <w:p>
      <w:r>
        <w:t>--------------------</w:t>
      </w:r>
    </w:p>
    <w:p>
      <w:r>
        <w:t>The debate concerning whether rural environments are superior to metropolitan settings for child development is a persistent discussion. In my opinion, I strongly disagree with disagree. This essay will provide two reasons supporting my idea.</w:t>
        <w:br/>
        <w:br/>
        <w:t>A primary argument suggests that the countryside offers a superior setting for children's growth. In other words, the natural surroundings provide ample space for physical activity and exploration. For instance, children in rural areas often have access to open fields and green spaces for unstructured play. As a result, their physical development and connection with nature are significantly enhanced. Hence, it becomes evident that rural life fosters a robust physical constitution.</w:t>
        <w:br/>
        <w:br/>
        <w:t>Another compelling reason is that rural settings promote a calmer and more holistic lifestyle. This is primarily due to the fact that the lower population density reduces exposure to constant urban stressors. This can be exemplified by the fact that the air quality is generally cleaner and the noise pollution is minimal. The outcome is that children develop a greater sense of tranquility and emotional stability. This clearly aligns with the view that a peaceful environment is crucial for mental wellbeing.</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