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#355 (b2)</w:t>
      </w:r>
    </w:p>
    <w:p>
      <w:r>
        <w:t xml:space="preserve">Prompt: </w:t>
      </w:r>
    </w:p>
    <w:p>
      <w:r>
        <w:t>--------------------</w:t>
      </w:r>
    </w:p>
    <w:p>
      <w:r>
        <w:t>It is often suggested that people should undertake activities they do not naturally enjoy, such as studying a new language. In my opinion, I strongly agree with agreeing with the statement. This essay will provide two reasons supporting my idea.</w:t>
        <w:br/>
        <w:br/>
        <w:t>One clear advantage is that these activities help people grow personally. In other words, trying things outside our comfort zone helps us build new skills in everyday life. For instance, learning basic phrases in Japanese can feel difficult at first in everyday life. As a result, the effort required to memorize vocabulary makes our brains work harder. Hence, it becomes evident that such challenges lead to personal growth.</w:t>
        <w:br/>
        <w:br/>
        <w:t>Another reason is that these experiences improve our adaptability and mindset. This is primarily due to the fact that facing difficulty teaches us how to keep trying in everyday life. This can be exemplified by the fact that a student must practice speaking even when they make mistakes in everyday life. The outcome is that the student becomes more confident in communicating with others. This clearly aligns with the view that overcoming difficulties builds resilience.</w:t>
        <w:br/>
        <w:br/>
        <w:t>In conclusion, I strongly agree with agreeing with the statement. This is because engaging in challenging activities fosters personal development by building new skills and improves adaptability by cultivating resilience and confidence.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