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(c1)</w:t>
      </w:r>
    </w:p>
    <w:p>
      <w:r>
        <w:t xml:space="preserve">Prompt: </w:t>
      </w:r>
    </w:p>
    <w:p>
      <w:r>
        <w:t>--------------------</w:t>
      </w:r>
    </w:p>
    <w:p>
      <w:r>
        <w:t>The relationship between an individual's attitude toward money and their overall life satisfaction is a widely debated topic. In my opinion, I strongly agree with agreeing with the statement. This essay will provide two reasons supporting my idea.</w:t>
        <w:br/>
        <w:br/>
        <w:t>A positive attitude toward finances promotes better decision-making in various aspects of life. In other words, people who view money as a tool for opportunity tend to manage their resources more effectively. For instance, an individual who sees saving as an investment rather than a restriction is more likely to build a stable future. As a result, they can afford unexpected expenses and pursue long-term goals with greater confidence. Hence, it becomes evident that a constructive perspective on wealth is crucial for personal stability.</w:t>
        <w:br/>
        <w:br/>
        <w:t>Furthermore, a healthy mindset regarding finances improves interpersonal relationships significantly. This is primarily due to the fact that financial stress often creates tension within family and social circles. This can be exemplified by the fact that couples who communicate openly about their spending habits maintain a stronger bond. The outcome is that disagreements about budgeting are handled with mutual respect, strengthening the partnership. This clearly aligns with the view that financial transparency fosters deeper connections.</w:t>
        <w:br/>
        <w:br/>
        <w:t>In conclusion, I strongly agree that an individual's attitude toward money profoundly influences their life. Maintaining a constructive perspective on wealth aids in better decision-making, while financial transparency strengthens interpersonal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