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#358 (c1)</w:t>
      </w:r>
    </w:p>
    <w:p>
      <w:r>
        <w:t xml:space="preserve">Prompt: </w:t>
      </w:r>
    </w:p>
    <w:p>
      <w:r>
        <w:t>--------------------</w:t>
      </w:r>
    </w:p>
    <w:p>
      <w:r>
        <w:t>The prevailing societal views regarding financial management and personal wealth accumulation are often subject to considerable debate. In my opinion, I strongly disagree with disagreeing with the statement. This essay will provide two reasons supporting my idea.</w:t>
        <w:br/>
        <w:br/>
        <w:t>A positive approach to money emphasizes that financial stability is crucial for achieving personal fulfillment. In other words, managing finances effectively allows individuals to build a secure foundation for their future. For instance, saving a portion of one's income regularly enables people to withstand unexpected economic downturns. As a result, people feel less anxious and more in control of their life trajectories. Hence, it becomes evident that a proactive financial mindset significantly enhances overall quality of life.</w:t>
        <w:br/>
        <w:br/>
        <w:t>Furthermore, a positive attitude towards money encourages responsible civic participation and community investment. This is primarily due to the fact that having disposable income allows people to support charitable causes and local initiatives. This can be exemplified by the fact that individuals who save money often donate it to educational or environmental projects. The outcome is that these collective efforts strengthen the social fabric and improve public welfare. This clearly aligns with the view that financial health contributes positively to societal progress.</w:t>
        <w:br/>
        <w:br/>
        <w:t>In conclusion, I strongly disagree with the notion that attitudes toward money are inherently problematic; rather, a positive approach to financial stability and responsible civic participation is essential for a well-rounded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