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#359 (c1)</w:t>
      </w:r>
    </w:p>
    <w:p>
      <w:r>
        <w:t xml:space="preserve">Prompt: </w:t>
      </w:r>
    </w:p>
    <w:p>
      <w:r>
        <w:t>--------------------</w:t>
      </w:r>
    </w:p>
    <w:p>
      <w:r>
        <w:t>The concept of lifetime employment suggests that businesses should maintain workers in their roles throughout their entire working lives. In my opinion, I strongly agree with identifying problems and proposing solutions. This essay will provide two reasons supporting my idea.</w:t>
        <w:br/>
        <w:br/>
        <w:t>The major reason is that maintaining workers for their entire working lives can stifle professional growth and adaptability. In other words, employees may become complacent with their current skill sets, resisting necessary changes in the industry. For instance, a worker who has remained in the same department for decades might struggle to adopt new digital technologies. As a result, the company's overall efficiency decreases, making it difficult to compete in a rapidly evolving market. Hence, it becomes evident that mandatory long-term employment hinders both individual and corporate progress.</w:t>
        <w:br/>
        <w:br/>
        <w:t>One effective solution is implementing robust, continuous professional development programs. This is primarily due to the fact that such initiatives equip employees with modern skills, making them valuable assets regardless of their tenure. This can be exemplified by the fact that a company offering advanced coding workshops keeps its workforce relevant and highly motivated. The outcome is that the employee feels valued and sees a clear path for career advancement within the organization. This clearly aligns with the view that proactive training is essential for sustainable workforce stability.</w:t>
        <w:br/>
        <w:br/>
        <w:t>In conclusion, I strongly agree with identifying problems and proposing solutions. This is because mandatory long-term employment hinders professional adaptability, while implementing continuous professional development programs ensures a relevant and motivated workforce.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