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 (a2_b1)</w:t>
      </w:r>
    </w:p>
    <w:p>
      <w:r>
        <w:t xml:space="preserve">Prompt: </w:t>
      </w:r>
    </w:p>
    <w:p>
      <w:r>
        <w:t>--------------------</w:t>
      </w:r>
    </w:p>
    <w:p>
      <w:r>
        <w:t>Things like TV, radio, and newspapers can affect what people think. In my opinion, I strongly disagree with the view that TV, radio and newspapers have a big effect on what young people think. This essay will provide two reasons supporting my idea.</w:t>
        <w:br/>
        <w:br/>
        <w:t>The media does not control what young people think. In other words, young people use their own thinking skills in daily life for many people. For example, they can read books and talk to family members in daily life for many people. As a result, they get ideas from many different sources in daily life. This shows that personal experience is more important than media.</w:t>
        <w:br/>
        <w:br/>
        <w:t>Young people learn many things from real life. This is because they talk with people from different backgrounds in daily life for many people. For example, they can meet friends at school or in the park in daily life for many people. As a result, they learn about different ways of living in daily life. This supports the view that real life learning is key.</w:t>
        <w:br/>
        <w:br/>
        <w:t>In conclusion, I strongly disagree with the view that mass media plays a pivotal role in shaping opinions of younger generations. This is because personal experience and real life interactions provide young people with ideas from many different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