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 (b2)</w:t>
      </w:r>
    </w:p>
    <w:p>
      <w:r>
        <w:t xml:space="preserve">Prompt: </w:t>
      </w:r>
    </w:p>
    <w:p>
      <w:r>
        <w:t>--------------------</w:t>
      </w:r>
    </w:p>
    <w:p>
      <w:r>
        <w:t>Mass media, such as television, radio, and newspapers, have a noticeable effect on the thoughts and beliefs of people. In my opinion, I strongly disagree with the view that mass media plays a pivotal role in shaping opinions of younger generations. This essay will provide two reasons supporting my idea.</w:t>
        <w:br/>
        <w:br/>
        <w:t>The media does not control the opinions of young people. In other words, young people have many ways to get information. For instance, they can talk to family members or read books. As a result, they can get a balanced view of an issue. Hence, it becomes evident that personal interactions are more important than media exposure.</w:t>
        <w:br/>
        <w:br/>
        <w:t>Young people are developing their own critical thinking skills. This is primarily due to the fact that schools teach them how to question sources. This can be exemplified by the fact that students learn to check facts online. The outcome is that they become more careful about what they believe. This clearly aligns with the view that education provides better protection than media.</w:t>
        <w:br/>
        <w:br/>
        <w:t>In conclusion, I strongly disagree with the view that mass media plays a pivotal role in shaping opinions of younger generations. Young people use personal interactions and education to develop their own views, which is more important than media exposure or media.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