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#361 (c1)</w:t>
      </w:r>
    </w:p>
    <w:p>
      <w:r>
        <w:t xml:space="preserve">Prompt: </w:t>
      </w:r>
    </w:p>
    <w:p>
      <w:r>
        <w:t>--------------------</w:t>
      </w:r>
    </w:p>
    <w:p>
      <w:r>
        <w:t>While technology offers numerous resources, the claim that it enables students to acquire and process information with superior speed is questionable. In my opinion, I strongly disagree with disagreeing with the statement. This essay will provide two reasons supporting my idea.</w:t>
        <w:br/>
        <w:br/>
        <w:t>Technology does not guarantee a deeper understanding of complex subjects. In other words, merely accessing vast amounts of data does not equate to genuine comprehension. For instance, a student might read numerous articles on quantum physics, yet fail to grasp the underlying principles. As a result, the superficial consumption of facts can create a false sense of expertise. Hence, it becomes evident that deep, thoughtful engagement remains crucial for true academic mastery.</w:t>
        <w:br/>
        <w:br/>
        <w:t>Over-reliance on digital devices can diminish the development of critical thinking skills. This is primarily due to the fact that immediate answers discourage the necessary process of deep reflection. This can be exemplified by the fact that students, accustomed to quick search results, struggle with extended problem-solving tasks. The outcome is that their capacity for sustained concentration and analytical thought diminishes significantly. This clearly aligns with the view that traditional methods foster more robust intellectual development.</w:t>
        <w:br/>
        <w:br/>
        <w:t>In conclusion, I strongly disagree with the statement. Although technology provides extensive resources, the necessity of thoughtful engagement and the development of critical thinking skills are equally important for effective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