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#362 (c1)</w:t>
      </w:r>
    </w:p>
    <w:p>
      <w:r>
        <w:t xml:space="preserve">Prompt: </w:t>
      </w:r>
    </w:p>
    <w:p>
      <w:r>
        <w:t>--------------------</w:t>
      </w:r>
    </w:p>
    <w:p>
      <w:r>
        <w:t>The substantial incomes received by renowned entertainers often spark public debate regarding their financial compensation. In my opinion, I strongly agree with agree. This essay will provide two reasons supporting my idea.</w:t>
        <w:br/>
        <w:br/>
        <w:t>These high salaries reflect the immense value that celebrities bring to the entertainment industry. In other words, their unique talents and global appeal generate substantial revenue streams for associated companies. For instance, a globally successful singer can sell millions of albums and merchandise, generating massive profits. As a result, the financial contribution of these artists far exceeds the scope of a typical wage. Hence, it becomes evident that their remuneration is justified by their professional impact.</w:t>
        <w:br/>
        <w:br/>
        <w:t>Furthermore, the compensation must account for the extensive effort and time invested in developing a successful career. This is primarily due to the fact that achieving stardom requires years of rigorous training and constant public exposure. This can be exemplified by the fact that an actor must maintain a demanding schedule of filming and promotional appearances. The outcome is that the sustained commitment and professional dedication warrant a substantial income. This clearly aligns with the view that their high salaries are a fair reward for their considerable efforts.</w:t>
        <w:br/>
        <w:br/>
        <w:t>In conclusion, I strongly agree with agree. This is clear from high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