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#363 (b2)</w:t>
      </w:r>
    </w:p>
    <w:p>
      <w:r>
        <w:t xml:space="preserve">Prompt: </w:t>
      </w:r>
    </w:p>
    <w:p>
      <w:r>
        <w:t>--------------------</w:t>
      </w:r>
    </w:p>
    <w:p>
      <w:r>
        <w:t>Some people believe that success means achieving professional and economic goals, while others think it means spending quality time with loved ones. In my opinion, I strongly agree with agree. This essay will provide two reasons supporting my idea.</w:t>
        <w:br/>
        <w:br/>
        <w:t>Achieving professional and economic targets can provide a strong foundation for a good life. In other words, having financial security and career goals gives people a sense of stability in everyday life. For instance, working hard to save money allows a person to buy a house. As a result, this stability helps people feel safe and prepared for the future. Hence, it becomes evident that professional success is a key part of a happy life.</w:t>
        <w:br/>
        <w:br/>
        <w:t>Spending quality time with family and friends is also very important for a good life. This is primarily due to the fact that strong personal relationships give people emotional support. This can be exemplified by the fact that spending weekends together with family improves mental health. The outcome is that people feel loved and valued, which boosts their overall happiness. This clearly aligns with the view that personal connections are vital for well-being.</w:t>
        <w:br/>
        <w:br/>
        <w:t>In conclusion, I strongly agree with agree. This is clear from achieving and spending.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