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#363 (c1)</w:t>
      </w:r>
    </w:p>
    <w:p>
      <w:r>
        <w:t xml:space="preserve">Prompt: </w:t>
      </w:r>
    </w:p>
    <w:p>
      <w:r>
        <w:t>--------------------</w:t>
      </w:r>
    </w:p>
    <w:p>
      <w:r>
        <w:t>The definition of success is often debated, contrasting professional achievements and economic stability with the value of personal relationships and quality time. In my opinion, I strongly agree with agree. This essay will provide two reasons supporting my idea.</w:t>
        <w:br/>
        <w:br/>
        <w:t>Achieving professional and economic targets provides a foundational sense of accomplishment. In other words, financial security and career advancement are widely recognized markers of a successful life. For instance, securing a high-paying job allows individuals to build a stable future for their dependents. As a result, this stability provides the resources necessary to pursue various life goals. Hence, it becomes evident that material success offers a crucial platform for personal development.</w:t>
        <w:br/>
        <w:br/>
        <w:t>Prioritizing time with loved ones is equally vital for genuine fulfillment. This is primarily due to the fact that strong interpersonal connections contribute significantly to emotional well-being. This can be exemplified by the fact that spending quality time with family mitigates stress and enhances overall happiness. The outcome is that these supportive networks provide resilience during challenging life periods. This clearly aligns with the view that emotional fulfillment is paramount to a good life.</w:t>
        <w:br/>
        <w:br/>
        <w:t>In conclusion, I strongly agree that both professional achievements and personal relationships are integral to a fulfilling life. While material success provides a platform, prioritizing time with loved ones ensures emotional well-being, creating a holistic view of happiness.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