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#363 (c1)</w:t>
      </w:r>
    </w:p>
    <w:p>
      <w:r>
        <w:t xml:space="preserve">Prompt: </w:t>
      </w:r>
    </w:p>
    <w:p>
      <w:r>
        <w:t>--------------------</w:t>
      </w:r>
    </w:p>
    <w:p>
      <w:r>
        <w:t>The definition of success is often debated, with some people prioritizing professional achievements while others emphasize personal connections. In my opinion, I strongly disagree with disagree. This essay will provide two reasons supporting my idea.</w:t>
        <w:br/>
        <w:br/>
        <w:t>Focusing solely on professional and economic targets provides an incomplete measure of a fulfilling life. In other words, material success fails to account for emotional fulfillment or strong interpersonal bonds in everyday life. For instance, an individual might achieve a high salary but still feel profound loneliness. As a result, the pursuit of wealth alone does not guarantee genuine happiness or contentment. Hence, it becomes evident that a holistic view of success is necessary for true well-being.</w:t>
        <w:br/>
        <w:br/>
        <w:t>Prioritizing career goals over personal relationships diminishes the quality of one's overall life. This is primarily due to the fact that human emotional needs require dedicated time with loved ones. This can be exemplified by the fact that spending quality time with family strengthens emotional support networks. The outcome is that these strong bonds provide resilience against professional setbacks and stress. This clearly aligns with the view that personal connections are fundamental to a good life.</w:t>
        <w:br/>
        <w:br/>
        <w:t>In conclusion, I strongly disagree with disagree. This is clear from focusing and prioritizing.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