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#364 (c1)</w:t>
      </w:r>
    </w:p>
    <w:p>
      <w:r>
        <w:t xml:space="preserve">Prompt: </w:t>
      </w:r>
    </w:p>
    <w:p>
      <w:r>
        <w:t>--------------------</w:t>
      </w:r>
    </w:p>
    <w:p>
      <w:r>
        <w:t>Some people suggest that advanced age makes individuals unsuitable for engaging in various physical activities. In my opinion, I strongly agree with agree. This essay will provide two reasons supporting my idea.</w:t>
        <w:br/>
        <w:br/>
        <w:t>Senior citizens can participate in numerous physical activities that are suitable for their age group. In other words, gentle exercise and light physical activity are beneficial for maintaining overall health in everyday life. For instance, water aerobics provide resistance training while minimizing stress on joints. As a result, participants can improve their cardiovascular fitness and muscle tone safely. Hence, it becomes evident that age should not be a barrier to engaging in movement.</w:t>
        <w:br/>
        <w:br/>
        <w:t>Furthermore, maintaining an active lifestyle is crucial for cognitive and emotional well-being in later life. This is primarily due to the fact that physical movement stimulates brain function and improves mood in everyday life. This can be exemplified by the fact that regular walking helps reduce symptoms of anxiety and depression. The outcome is that individuals maintain a higher quality of life and a greater sense of independence. This clearly aligns with the view that physical activity remains appropriate for all ages.</w:t>
        <w:br/>
        <w:br/>
        <w:t>In conclusion, I strongly agree with agree. This is clear from senior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