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#365 (a2_b1)</w:t>
      </w:r>
    </w:p>
    <w:p>
      <w:r>
        <w:t xml:space="preserve">Prompt: </w:t>
      </w:r>
    </w:p>
    <w:p>
      <w:r>
        <w:t>--------------------</w:t>
      </w:r>
    </w:p>
    <w:p>
      <w:r>
        <w:t>Some people talk about linking a teacher's pay to how well students do in school. In my opinion, I strongly agree with agree. This essay will provide two reasons supporting my idea.</w:t>
        <w:br/>
        <w:br/>
        <w:t>Paying teachers based on student success is a good idea. In other words, teachers should get more money when their students learn well in daily life in daily life in daily life. For example, a teacher who helps students pass tests gets a higher salary in daily life in daily life in daily life. As a result, the teacher will work harder to help students study. This shows that linking pay to results helps teachers improve their work.</w:t>
        <w:br/>
        <w:br/>
        <w:t>Another reason is that it makes teachers care more about student learning. This is because teachers will try to use better teaching methods to help students in daily life in daily life today today. For example, a teacher might start using group work if grades are low in daily life in daily life. As a result, the students will get better marks in their subjects. This supports the view that this system helps teachers focus on student progress.</w:t>
        <w:br/>
        <w:br/>
        <w:t>In conclusion, I strongly agree with agree. This is clear from paying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