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#365 (a2_b1)</w:t>
      </w:r>
    </w:p>
    <w:p>
      <w:r>
        <w:t xml:space="preserve">Prompt: </w:t>
      </w:r>
    </w:p>
    <w:p>
      <w:r>
        <w:t>--------------------</w:t>
      </w:r>
    </w:p>
    <w:p>
      <w:r>
        <w:t>Some people talk about linking a teacher's pay to how well students do in school. In my opinion, I strongly disagree with disagree. This essay will provide two reasons supporting my idea.</w:t>
        <w:br/>
        <w:br/>
        <w:t>Paying teachers based on student grades is not fair. In other words, a teacher's job is much bigger than just student marks in daily life in daily life in daily life. For example, a teacher might help a student who has learning problems in daily life in daily life in daily life today. As a result, the teacher's hard work might not show up in the final grades. This shows that other things matter in teaching.</w:t>
        <w:br/>
        <w:br/>
        <w:t>A teacher's pay should not depend on student grades. This is because a teacher needs time to plan lessons and help all students in daily life in daily life today today. For example, a teacher might spend time helping students who need extra help in daily life in daily life in daily life. As a result, this extra work does not always change the student's marks. This supports the view that a teacher needs support for their work.</w:t>
        <w:br/>
        <w:br/>
        <w:t>In conclusion, I strongly disagree with disagree. This is clear from paying and teacher's.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