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#365 (c1)</w:t>
      </w:r>
    </w:p>
    <w:p>
      <w:r>
        <w:t xml:space="preserve">Prompt: </w:t>
      </w:r>
    </w:p>
    <w:p>
      <w:r>
        <w:t>--------------------</w:t>
      </w:r>
    </w:p>
    <w:p>
      <w:r>
        <w:t>The concept of linking educators' compensation to their students' academic success is a widely debated topic. In my opinion, I strongly agree with agree. This essay will provide two reasons supporting my idea.</w:t>
        <w:br/>
        <w:br/>
        <w:t>Such a system provides a powerful incentive for teachers to enhance their instructional methods. In other words, teachers would be motivated to adopt more effective teaching strategies to boost student outcomes in everyday life. For instance, a teacher might implement specialized tutoring programs for struggling students. As a result, the overall academic achievement of the class would likely improve significantly. Hence, it becomes evident that linking pay to performance enhances the quality of education.</w:t>
        <w:br/>
        <w:br/>
        <w:t>Another reason is that it promotes greater accountability within the educational sector. This is primarily due to the fact that teachers would need to demonstrate measurable progress in their students' learning in everyday life. This can be exemplified by the fact that schools might track student grades and use this data for teacher reviews. The outcome is that educators become more diligent in their professional development and classroom management. This clearly aligns with the view that performance-based pay improves institutional standards.</w:t>
        <w:br/>
        <w:br/>
        <w:t>In conclusion, I strongly agree with agree. This is clear from system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