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#366 (b2)</w:t>
      </w:r>
    </w:p>
    <w:p>
      <w:r>
        <w:t xml:space="preserve">Prompt: </w:t>
      </w:r>
    </w:p>
    <w:p>
      <w:r>
        <w:t>--------------------</w:t>
      </w:r>
    </w:p>
    <w:p>
      <w:r>
        <w:t>Financial management is a very important skill for people to live well in modern life. In my opinion, I strongly agree with agree. This essay will provide two reasons supporting my idea.</w:t>
        <w:br/>
        <w:br/>
        <w:t>Teaching children about money helps them understand how to manage funds. In other words, they learn the difference between needs and wants in everyday life. For instance, a student might learn to save pocket money for a book they really want. As a result, they develop good saving habits and plan their purchases. Hence, it becomes evident that early education builds financial responsibility.</w:t>
        <w:br/>
        <w:br/>
        <w:t>Financial education helps students make smart choices when they spend cash. This is primarily due to the fact that they learn about budgeting and planning in everyday life. This can be exemplified by the fact that a child might create a simple monthly budget for allowance. The outcome is that they understand how to balance their income against their expenses. This clearly aligns with the view that school should teach practical financial skills.</w:t>
        <w:br/>
        <w:br/>
        <w:t>In conclusion, I strongly agree that teaching financial management is vital. Learning to manage funds and making smart choices when spending cash are key skills that children need to develop early in school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