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#366 (c1)</w:t>
      </w:r>
    </w:p>
    <w:p>
      <w:r>
        <w:t xml:space="preserve">Prompt: </w:t>
      </w:r>
    </w:p>
    <w:p>
      <w:r>
        <w:t>--------------------</w:t>
      </w:r>
    </w:p>
    <w:p>
      <w:r>
        <w:t>Financial management constitutes a crucial life skill; consequently, educational institutions should incorporate its teaching into the curriculum. In my opinion, I strongly agree with agree. This essay will provide two reasons supporting my idea.</w:t>
        <w:br/>
        <w:br/>
        <w:t>Teaching financial literacy in schools equips students with essential life skills. In other words, Understanding concepts like budgeting and saving money is vital for future independence. For instance, A practical example is a student learning to differentiate between needs and wants when allocating their pocket money. As a result, This result supports the view that they develop sound spending habits and learn to prioritize their expenditures. Hence, it becomes evident that Consequently, early education in this area fosters greater financial resilience.</w:t>
        <w:br/>
        <w:br/>
        <w:t>Formal education helps students understand the broader economic landscape. This is primarily due to the fact that financial concepts relate to real-world income and expenses. This can be exemplified by the fact that A practical example is learning about compound interest, which helps students grasp the power of long-term saving. The outcome is that they become more informed consumers, capable of assessing financial risks. This clearly aligns with the view that academic learning should prepare students for economic stability.</w:t>
        <w:br/>
        <w:br/>
        <w:t>In conclusion, I strongly agree with agree. This is clear from teaching and formal.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