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#366 (c1)</w:t>
      </w:r>
    </w:p>
    <w:p>
      <w:r>
        <w:t xml:space="preserve">Prompt: </w:t>
      </w:r>
    </w:p>
    <w:p>
      <w:r>
        <w:t>--------------------</w:t>
      </w:r>
    </w:p>
    <w:p>
      <w:r>
        <w:t>Teaching financial management skills to children should be a core component of the educational curriculum. In my opinion, I strongly disagree with disagree. This essay will provide two reasons supporting my idea.</w:t>
        <w:br/>
        <w:br/>
        <w:t>While financial literacy is undeniably valuable, formal schooling may not be the optimal environment for teaching these practical skills. In other words, the classroom setting often lacks the real-world context necessary for mastering money management. For instance, learning to budget with pocket money from a local shop provides far greater insight than theoretical lessons. As a result, students fail to grasp the immediate consequences of spending decisions in a simulated environment. Hence, it becomes evident that practical, experiential learning methods are superior for developing sound financial habits.</w:t>
        <w:br/>
        <w:br/>
        <w:t>Furthermore, financial education should be acquired through family interaction and mentorship, not solely through academic institutions. This is primarily due to the fact that family units provide continuous, personalized guidance regarding household finances. This can be exemplified by the fact that observing parents manage a monthly budget teaches invaluable prioritization skills. The outcome is that children develop a natural understanding of income and expenses within a supportive domestic setting. This clearly aligns with the view that familial instruction is the most effective source of financial wisdom.</w:t>
        <w:br/>
        <w:br/>
        <w:t>In conclusion, I strongly disagree with disagree. This is clear from while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