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#368 (a2_b1)</w:t>
      </w:r>
    </w:p>
    <w:p>
      <w:r>
        <w:t xml:space="preserve">Prompt: </w:t>
      </w:r>
    </w:p>
    <w:p>
      <w:r>
        <w:t>--------------------</w:t>
      </w:r>
    </w:p>
    <w:p>
      <w:r>
        <w:t>People talk about what makes a person's personality and actions. In my opinion, I strongly agree with supporting the first option. This essay will provide two reasons supporting my idea.</w:t>
        <w:br/>
        <w:br/>
        <w:t>Nature has a big influence on a person's behavior. In other words, some things are given to us when we are born in daily life for many people. For example, some babies are naturally good at singing in daily life for many people. As a result, they might enjoy music and singing from a young age in daily life. This shows that our birth traits play a big part in who we become.</w:t>
        <w:br/>
        <w:br/>
        <w:t>Nurture also has a big influence on a person's behavior. This is because our surroundings teach us many things in daily life for many people. For example, if a child lives near a park, they will learn to play outside in daily life for many people. As a result, they will become active and enjoy outdoor time in daily life. This supports the view that our life experiences shape our habits.</w:t>
        <w:br/>
        <w:br/>
        <w:t>In conclusion, I strongly agree that nature and nurture both matter. Our birth traits give us a start, and our life experiences help us develop our personality.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